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A3" w:rsidRPr="004E6169" w:rsidRDefault="001D36A5" w:rsidP="008F4CAE">
      <w:pPr>
        <w:rPr>
          <w:b/>
        </w:rPr>
      </w:pPr>
      <w:r w:rsidRPr="004E6169">
        <w:rPr>
          <w:b/>
        </w:rPr>
        <w:t xml:space="preserve">ALA </w:t>
      </w:r>
      <w:r w:rsidR="006150D8">
        <w:rPr>
          <w:b/>
        </w:rPr>
        <w:t>7</w:t>
      </w:r>
      <w:r w:rsidR="004E6169" w:rsidRPr="004E6169">
        <w:rPr>
          <w:b/>
        </w:rPr>
        <w:t>.1</w:t>
      </w:r>
      <w:r w:rsidR="006150D8">
        <w:rPr>
          <w:b/>
        </w:rPr>
        <w:t xml:space="preserve"> F</w:t>
      </w:r>
      <w:r w:rsidR="006150D8" w:rsidRPr="006150D8">
        <w:rPr>
          <w:b/>
          <w:vertAlign w:val="subscript"/>
        </w:rPr>
        <w:t>2</w:t>
      </w:r>
      <w:r w:rsidR="006150D8">
        <w:rPr>
          <w:b/>
        </w:rPr>
        <w:t xml:space="preserve"> enrichment</w:t>
      </w:r>
    </w:p>
    <w:p w:rsidR="0096409C" w:rsidRPr="004E6169" w:rsidRDefault="004E6169">
      <w:pPr>
        <w:rPr>
          <w:b/>
        </w:rPr>
      </w:pPr>
      <w:r>
        <w:rPr>
          <w:b/>
        </w:rPr>
        <w:t>Prerequisite</w:t>
      </w:r>
    </w:p>
    <w:p w:rsidR="00107D1C" w:rsidRDefault="00D5090A">
      <w:r>
        <w:t>Understanding of:</w:t>
      </w:r>
    </w:p>
    <w:p w:rsidR="00D5090A" w:rsidRPr="00FF7F9D" w:rsidRDefault="00D5090A" w:rsidP="00D5090A">
      <w:pPr>
        <w:pStyle w:val="NoSpacing"/>
        <w:numPr>
          <w:ilvl w:val="0"/>
          <w:numId w:val="6"/>
        </w:numPr>
        <w:spacing w:line="280" w:lineRule="exact"/>
        <w:rPr>
          <w:rFonts w:asciiTheme="minorHAnsi" w:hAnsiTheme="minorHAnsi" w:cs="Arial"/>
        </w:rPr>
      </w:pPr>
      <w:r w:rsidRPr="00FF7F9D">
        <w:rPr>
          <w:rFonts w:asciiTheme="minorHAnsi" w:hAnsiTheme="minorHAnsi" w:cs="Arial"/>
        </w:rPr>
        <w:t>Difference between marker-assisted backcrossing (MABC) and marker-assisted selection (MAS).</w:t>
      </w:r>
    </w:p>
    <w:p w:rsidR="00D5090A" w:rsidRPr="00FF7F9D" w:rsidRDefault="00D5090A" w:rsidP="00D5090A">
      <w:pPr>
        <w:pStyle w:val="NoSpacing"/>
        <w:numPr>
          <w:ilvl w:val="0"/>
          <w:numId w:val="6"/>
        </w:numPr>
        <w:spacing w:line="280" w:lineRule="exact"/>
        <w:rPr>
          <w:rFonts w:asciiTheme="minorHAnsi" w:hAnsiTheme="minorHAnsi" w:cs="Arial"/>
        </w:rPr>
      </w:pPr>
      <w:r w:rsidRPr="00FF7F9D">
        <w:rPr>
          <w:rFonts w:asciiTheme="minorHAnsi" w:hAnsiTheme="minorHAnsi" w:cs="Arial"/>
        </w:rPr>
        <w:t>Awareness of the relative efficiency of MAS versus phenotypic selection.</w:t>
      </w:r>
    </w:p>
    <w:p w:rsidR="00D5090A" w:rsidRPr="00FF7F9D" w:rsidRDefault="00D5090A" w:rsidP="00D5090A">
      <w:pPr>
        <w:pStyle w:val="NoSpacing"/>
        <w:numPr>
          <w:ilvl w:val="0"/>
          <w:numId w:val="6"/>
        </w:numPr>
        <w:spacing w:line="280" w:lineRule="exact"/>
        <w:rPr>
          <w:rFonts w:asciiTheme="minorHAnsi" w:hAnsiTheme="minorHAnsi" w:cs="Arial"/>
        </w:rPr>
      </w:pPr>
      <w:r w:rsidRPr="00FF7F9D">
        <w:rPr>
          <w:rFonts w:asciiTheme="minorHAnsi" w:hAnsiTheme="minorHAnsi" w:cs="Arial"/>
        </w:rPr>
        <w:t>Factors the influence the efficiency of MAS.</w:t>
      </w:r>
    </w:p>
    <w:p w:rsidR="00D5090A" w:rsidRPr="00FF7F9D" w:rsidRDefault="00D5090A" w:rsidP="00D5090A">
      <w:pPr>
        <w:pStyle w:val="NoSpacing"/>
        <w:numPr>
          <w:ilvl w:val="0"/>
          <w:numId w:val="6"/>
        </w:numPr>
        <w:spacing w:line="280" w:lineRule="exact"/>
        <w:rPr>
          <w:rFonts w:asciiTheme="minorHAnsi" w:hAnsiTheme="minorHAnsi" w:cs="Arial"/>
        </w:rPr>
      </w:pPr>
      <w:r w:rsidRPr="00FF7F9D">
        <w:rPr>
          <w:rFonts w:asciiTheme="minorHAnsi" w:hAnsiTheme="minorHAnsi" w:cs="Arial"/>
        </w:rPr>
        <w:t>Alternative MAS strategies, such as F</w:t>
      </w:r>
      <w:r w:rsidRPr="00FF7F9D">
        <w:rPr>
          <w:rFonts w:asciiTheme="minorHAnsi" w:hAnsiTheme="minorHAnsi" w:cs="Arial"/>
          <w:vertAlign w:val="subscript"/>
        </w:rPr>
        <w:t xml:space="preserve">2 </w:t>
      </w:r>
      <w:r w:rsidRPr="00FF7F9D">
        <w:rPr>
          <w:rFonts w:asciiTheme="minorHAnsi" w:hAnsiTheme="minorHAnsi" w:cs="Arial"/>
        </w:rPr>
        <w:t xml:space="preserve">enrichment. </w:t>
      </w:r>
    </w:p>
    <w:p w:rsidR="00D5090A" w:rsidRDefault="00D5090A"/>
    <w:p w:rsidR="000770B2" w:rsidRDefault="000770B2" w:rsidP="000770B2">
      <w:r>
        <w:t>Read:</w:t>
      </w:r>
    </w:p>
    <w:p w:rsidR="000770B2" w:rsidRPr="006150D8" w:rsidRDefault="000770B2" w:rsidP="000770B2">
      <w:proofErr w:type="spellStart"/>
      <w:r>
        <w:t>Bonnett</w:t>
      </w:r>
      <w:proofErr w:type="spellEnd"/>
      <w:r>
        <w:t xml:space="preserve">, </w:t>
      </w:r>
      <w:r w:rsidRPr="00B95835">
        <w:t>D.G.</w:t>
      </w:r>
      <w:r>
        <w:t>,</w:t>
      </w:r>
      <w:r w:rsidRPr="00B95835">
        <w:t xml:space="preserve"> G.J. </w:t>
      </w:r>
      <w:proofErr w:type="spellStart"/>
      <w:r w:rsidRPr="00B95835">
        <w:t>Rebetzke</w:t>
      </w:r>
      <w:proofErr w:type="spellEnd"/>
      <w:r>
        <w:t>,</w:t>
      </w:r>
      <w:r w:rsidRPr="00B95835">
        <w:t xml:space="preserve"> and W. </w:t>
      </w:r>
      <w:proofErr w:type="spellStart"/>
      <w:r w:rsidRPr="00B95835">
        <w:t>Spielmeyer</w:t>
      </w:r>
      <w:proofErr w:type="spellEnd"/>
      <w:r>
        <w:t xml:space="preserve">. 2005. </w:t>
      </w:r>
      <w:r w:rsidRPr="00B95835">
        <w:t>Strategies for efficient implementation of molecular markers in wheat breeding</w:t>
      </w:r>
      <w:r>
        <w:t xml:space="preserve">. </w:t>
      </w:r>
      <w:r w:rsidRPr="00B95835">
        <w:t>Molecular Breeding</w:t>
      </w:r>
      <w:r>
        <w:t>.</w:t>
      </w:r>
      <w:r w:rsidRPr="00B95835">
        <w:t xml:space="preserve"> 15: 75–85.</w:t>
      </w:r>
      <w:r>
        <w:t xml:space="preserve"> Available online at </w:t>
      </w:r>
      <w:hyperlink r:id="rId5" w:history="1">
        <w:r w:rsidRPr="00B95835">
          <w:rPr>
            <w:rStyle w:val="Hyperlink"/>
          </w:rPr>
          <w:t>http://link.springer.com/article/10.1007%2Fs11032-004-2734-5</w:t>
        </w:r>
      </w:hyperlink>
      <w:r>
        <w:t>.</w:t>
      </w:r>
    </w:p>
    <w:p w:rsidR="0096409C" w:rsidRDefault="004E6169">
      <w:pPr>
        <w:rPr>
          <w:b/>
        </w:rPr>
      </w:pPr>
      <w:bookmarkStart w:id="0" w:name="_GoBack"/>
      <w:bookmarkEnd w:id="0"/>
      <w:r>
        <w:rPr>
          <w:b/>
        </w:rPr>
        <w:t>Purpose</w:t>
      </w:r>
    </w:p>
    <w:p w:rsidR="009E468D" w:rsidRPr="009E468D" w:rsidRDefault="009E468D">
      <w:r w:rsidRPr="009E468D">
        <w:t>Exposure to</w:t>
      </w:r>
      <w:r>
        <w:t xml:space="preserve"> F</w:t>
      </w:r>
      <w:r w:rsidRPr="009E468D">
        <w:rPr>
          <w:vertAlign w:val="subscript"/>
        </w:rPr>
        <w:t>2</w:t>
      </w:r>
      <w:r>
        <w:t xml:space="preserve"> enrichment strategy for marker-assisted selection</w:t>
      </w:r>
      <w:r w:rsidR="00241873">
        <w:t xml:space="preserve"> as</w:t>
      </w:r>
      <w:r>
        <w:t xml:space="preserve"> described in</w:t>
      </w:r>
      <w:r w:rsidRPr="009E468D">
        <w:t xml:space="preserve"> </w:t>
      </w:r>
      <w:r>
        <w:t xml:space="preserve">detail by </w:t>
      </w:r>
      <w:proofErr w:type="spellStart"/>
      <w:r>
        <w:t>Bonnett</w:t>
      </w:r>
      <w:proofErr w:type="spellEnd"/>
      <w:r>
        <w:t xml:space="preserve"> et al. (2005).</w:t>
      </w:r>
    </w:p>
    <w:p w:rsidR="00844031" w:rsidRPr="00844031" w:rsidRDefault="00844031" w:rsidP="00844031">
      <w:pPr>
        <w:rPr>
          <w:b/>
        </w:rPr>
      </w:pPr>
      <w:r w:rsidRPr="00844031">
        <w:rPr>
          <w:b/>
        </w:rPr>
        <w:t>Background</w:t>
      </w:r>
    </w:p>
    <w:p w:rsidR="009E468D" w:rsidRPr="009E468D" w:rsidRDefault="009E468D">
      <w:r w:rsidRPr="009E468D">
        <w:t>F</w:t>
      </w:r>
      <w:r w:rsidRPr="009E468D">
        <w:rPr>
          <w:vertAlign w:val="subscript"/>
        </w:rPr>
        <w:t>2</w:t>
      </w:r>
      <w:r w:rsidRPr="009E468D">
        <w:t xml:space="preserve"> enrichment</w:t>
      </w:r>
      <w:r>
        <w:t xml:space="preserve"> is an appropriate method if the number of genes of interest exceeds the number of genes that can be reasonably handled by MABC (&gt;5 genes), </w:t>
      </w:r>
      <w:r w:rsidR="00241873">
        <w:t xml:space="preserve">and </w:t>
      </w:r>
      <w:r>
        <w:t>is below about 10-20 genes. The basic strategy is to use markers in order to identify and discard (cull) genotypes that do not have at least one favorable allele at all of the loci of interest. This</w:t>
      </w:r>
      <w:r w:rsidR="00241873">
        <w:t xml:space="preserve"> significantly</w:t>
      </w:r>
      <w:r>
        <w:t xml:space="preserve"> increases the probability in the remaining genotypes (after culling) </w:t>
      </w:r>
      <w:r w:rsidR="00241873">
        <w:t xml:space="preserve">of </w:t>
      </w:r>
      <w:r>
        <w:t>identify</w:t>
      </w:r>
      <w:r w:rsidR="00241873">
        <w:t>ing</w:t>
      </w:r>
      <w:r>
        <w:t xml:space="preserve"> a genotype that has the favorable allele fixed at all loci of interest.</w:t>
      </w:r>
    </w:p>
    <w:p w:rsidR="0096409C" w:rsidRDefault="0096409C">
      <w:pPr>
        <w:rPr>
          <w:b/>
        </w:rPr>
      </w:pPr>
      <w:r w:rsidRPr="00640813">
        <w:rPr>
          <w:b/>
        </w:rPr>
        <w:t>Tasks</w:t>
      </w:r>
    </w:p>
    <w:p w:rsidR="009E468D" w:rsidRPr="0039478D" w:rsidRDefault="009E468D" w:rsidP="009E468D">
      <w:pPr>
        <w:pStyle w:val="CommentText"/>
        <w:numPr>
          <w:ilvl w:val="0"/>
          <w:numId w:val="4"/>
        </w:numPr>
        <w:spacing w:line="320" w:lineRule="exact"/>
        <w:rPr>
          <w:rFonts w:asciiTheme="minorHAnsi" w:hAnsiTheme="minorHAnsi" w:cs="Arial"/>
          <w:sz w:val="22"/>
          <w:szCs w:val="22"/>
        </w:rPr>
      </w:pPr>
      <w:r w:rsidRPr="0039478D">
        <w:rPr>
          <w:rFonts w:asciiTheme="minorHAnsi" w:hAnsiTheme="minorHAnsi" w:cs="Arial"/>
          <w:sz w:val="22"/>
          <w:szCs w:val="22"/>
        </w:rPr>
        <w:t>Estimate population sizes required for enrichment vs. fixation of target loci (1-10) in F</w:t>
      </w:r>
      <w:r w:rsidRPr="0039478D">
        <w:rPr>
          <w:rFonts w:asciiTheme="minorHAnsi" w:hAnsiTheme="minorHAnsi" w:cs="Arial"/>
          <w:sz w:val="22"/>
          <w:szCs w:val="22"/>
          <w:vertAlign w:val="subscript"/>
        </w:rPr>
        <w:t>2</w:t>
      </w:r>
      <w:r w:rsidRPr="0039478D">
        <w:rPr>
          <w:rFonts w:asciiTheme="minorHAnsi" w:hAnsiTheme="minorHAnsi" w:cs="Arial"/>
          <w:sz w:val="22"/>
          <w:szCs w:val="22"/>
        </w:rPr>
        <w:t xml:space="preserve"> and doubled haploid (DH) populations</w:t>
      </w:r>
      <w:r w:rsidR="00241873" w:rsidRPr="0039478D">
        <w:rPr>
          <w:rFonts w:asciiTheme="minorHAnsi" w:hAnsiTheme="minorHAnsi" w:cs="Arial"/>
          <w:sz w:val="22"/>
          <w:szCs w:val="22"/>
        </w:rPr>
        <w:t>.</w:t>
      </w:r>
      <w:r w:rsidRPr="0039478D">
        <w:rPr>
          <w:rFonts w:asciiTheme="minorHAnsi" w:hAnsiTheme="minorHAnsi" w:cs="Arial"/>
          <w:sz w:val="22"/>
          <w:szCs w:val="22"/>
        </w:rPr>
        <w:t xml:space="preserve"> (</w:t>
      </w:r>
      <w:proofErr w:type="gramStart"/>
      <w:r w:rsidRPr="0039478D">
        <w:rPr>
          <w:rFonts w:asciiTheme="minorHAnsi" w:hAnsiTheme="minorHAnsi" w:cs="Arial"/>
          <w:sz w:val="22"/>
          <w:szCs w:val="22"/>
        </w:rPr>
        <w:t>you</w:t>
      </w:r>
      <w:proofErr w:type="gramEnd"/>
      <w:r w:rsidRPr="0039478D">
        <w:rPr>
          <w:rFonts w:asciiTheme="minorHAnsi" w:hAnsiTheme="minorHAnsi" w:cs="Arial"/>
          <w:sz w:val="22"/>
          <w:szCs w:val="22"/>
        </w:rPr>
        <w:t xml:space="preserve"> may refer to lessons 4 and 5 to obtain the probability function of the binomial distribution). </w:t>
      </w:r>
    </w:p>
    <w:p w:rsidR="009E468D" w:rsidRPr="0039478D" w:rsidRDefault="00107D1C" w:rsidP="009E468D">
      <w:pPr>
        <w:pStyle w:val="CommentText"/>
        <w:numPr>
          <w:ilvl w:val="0"/>
          <w:numId w:val="4"/>
        </w:numPr>
        <w:spacing w:line="320" w:lineRule="exact"/>
        <w:rPr>
          <w:rFonts w:asciiTheme="minorHAnsi" w:hAnsiTheme="minorHAnsi" w:cs="Arial"/>
          <w:sz w:val="22"/>
          <w:szCs w:val="22"/>
        </w:rPr>
      </w:pPr>
      <w:r w:rsidRPr="0039478D">
        <w:rPr>
          <w:rFonts w:asciiTheme="minorHAnsi" w:hAnsiTheme="minorHAnsi" w:cs="Arial"/>
          <w:sz w:val="22"/>
          <w:szCs w:val="22"/>
        </w:rPr>
        <w:t>Derive a</w:t>
      </w:r>
      <w:r w:rsidR="009E468D" w:rsidRPr="0039478D">
        <w:rPr>
          <w:rFonts w:asciiTheme="minorHAnsi" w:hAnsiTheme="minorHAnsi" w:cs="Arial"/>
          <w:sz w:val="22"/>
          <w:szCs w:val="22"/>
        </w:rPr>
        <w:t xml:space="preserve"> formula</w:t>
      </w:r>
      <w:r w:rsidRPr="0039478D">
        <w:rPr>
          <w:rFonts w:asciiTheme="minorHAnsi" w:hAnsiTheme="minorHAnsi" w:cs="Arial"/>
          <w:sz w:val="22"/>
          <w:szCs w:val="22"/>
        </w:rPr>
        <w:t xml:space="preserve"> for the minimum population size</w:t>
      </w:r>
      <w:r w:rsidR="009E468D" w:rsidRPr="0039478D">
        <w:rPr>
          <w:rFonts w:asciiTheme="minorHAnsi" w:hAnsiTheme="minorHAnsi" w:cs="Arial"/>
          <w:sz w:val="22"/>
          <w:szCs w:val="22"/>
        </w:rPr>
        <w:t xml:space="preserve"> for F</w:t>
      </w:r>
      <w:r w:rsidR="009E468D" w:rsidRPr="0039478D">
        <w:rPr>
          <w:rFonts w:asciiTheme="minorHAnsi" w:hAnsiTheme="minorHAnsi" w:cs="Arial"/>
          <w:sz w:val="22"/>
          <w:szCs w:val="22"/>
          <w:vertAlign w:val="subscript"/>
        </w:rPr>
        <w:t>2</w:t>
      </w:r>
      <w:r w:rsidR="009E468D" w:rsidRPr="0039478D">
        <w:rPr>
          <w:rFonts w:asciiTheme="minorHAnsi" w:hAnsiTheme="minorHAnsi" w:cs="Arial"/>
          <w:sz w:val="22"/>
          <w:szCs w:val="22"/>
        </w:rPr>
        <w:t xml:space="preserve"> enrichment, and calculate the minimum number of individuals required to find at least one genotype with all loci fixed, a) in F</w:t>
      </w:r>
      <w:r w:rsidR="009E468D" w:rsidRPr="0039478D">
        <w:rPr>
          <w:rFonts w:asciiTheme="minorHAnsi" w:hAnsiTheme="minorHAnsi" w:cs="Arial"/>
          <w:sz w:val="22"/>
          <w:szCs w:val="22"/>
          <w:vertAlign w:val="subscript"/>
        </w:rPr>
        <w:t>2</w:t>
      </w:r>
      <w:r w:rsidR="009E468D" w:rsidRPr="0039478D">
        <w:rPr>
          <w:rFonts w:asciiTheme="minorHAnsi" w:hAnsiTheme="minorHAnsi" w:cs="Arial"/>
          <w:sz w:val="22"/>
          <w:szCs w:val="22"/>
        </w:rPr>
        <w:t xml:space="preserve"> before enrichment, b) in F</w:t>
      </w:r>
      <w:r w:rsidR="009E468D" w:rsidRPr="0039478D">
        <w:rPr>
          <w:rFonts w:asciiTheme="minorHAnsi" w:hAnsiTheme="minorHAnsi" w:cs="Arial"/>
          <w:sz w:val="22"/>
          <w:szCs w:val="22"/>
          <w:vertAlign w:val="subscript"/>
        </w:rPr>
        <w:t>2</w:t>
      </w:r>
      <w:r w:rsidR="009E468D" w:rsidRPr="0039478D">
        <w:rPr>
          <w:rFonts w:asciiTheme="minorHAnsi" w:hAnsiTheme="minorHAnsi" w:cs="Arial"/>
          <w:sz w:val="22"/>
          <w:szCs w:val="22"/>
        </w:rPr>
        <w:t xml:space="preserve"> after enrichment, c) in DH before enrichment, and d) in DH after enrichment.</w:t>
      </w:r>
    </w:p>
    <w:tbl>
      <w:tblPr>
        <w:tblStyle w:val="TableGrid"/>
        <w:tblW w:w="9360" w:type="dxa"/>
        <w:jc w:val="center"/>
        <w:tblLook w:val="04A0" w:firstRow="1" w:lastRow="0" w:firstColumn="1" w:lastColumn="0" w:noHBand="0" w:noVBand="1"/>
      </w:tblPr>
      <w:tblGrid>
        <w:gridCol w:w="1382"/>
        <w:gridCol w:w="1946"/>
        <w:gridCol w:w="1946"/>
        <w:gridCol w:w="2043"/>
        <w:gridCol w:w="2043"/>
      </w:tblGrid>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textAlignment w:val="auto"/>
              <w:rPr>
                <w:rFonts w:asciiTheme="minorHAnsi" w:hAnsiTheme="minorHAnsi" w:cs="Arial"/>
              </w:rPr>
            </w:pPr>
            <w:r w:rsidRPr="0039478D">
              <w:rPr>
                <w:rFonts w:asciiTheme="minorHAnsi" w:hAnsiTheme="minorHAnsi" w:cs="Arial"/>
              </w:rPr>
              <w:t>Number of loci</w:t>
            </w:r>
          </w:p>
        </w:tc>
        <w:tc>
          <w:tcPr>
            <w:tcW w:w="1800" w:type="dxa"/>
            <w:tcMar>
              <w:top w:w="115" w:type="dxa"/>
              <w:left w:w="115" w:type="dxa"/>
              <w:bottom w:w="115" w:type="dxa"/>
              <w:right w:w="115" w:type="dxa"/>
            </w:tcMar>
          </w:tcPr>
          <w:p w:rsidR="009E468D" w:rsidRPr="0039478D" w:rsidRDefault="009E468D" w:rsidP="0081624C">
            <w:pPr>
              <w:autoSpaceDE w:val="0"/>
              <w:adjustRightInd w:val="0"/>
              <w:spacing w:before="100" w:beforeAutospacing="1" w:after="100" w:afterAutospacing="1"/>
              <w:textAlignment w:val="auto"/>
              <w:rPr>
                <w:rFonts w:asciiTheme="minorHAnsi" w:hAnsiTheme="minorHAnsi" w:cs="Arial"/>
              </w:rPr>
            </w:pPr>
            <w:r w:rsidRPr="0039478D">
              <w:rPr>
                <w:rFonts w:asciiTheme="minorHAnsi" w:hAnsiTheme="minorHAnsi" w:cs="Arial"/>
              </w:rPr>
              <w:t>(a) in F</w:t>
            </w:r>
            <w:r w:rsidRPr="0039478D">
              <w:rPr>
                <w:rFonts w:asciiTheme="minorHAnsi" w:hAnsiTheme="minorHAnsi" w:cs="Arial"/>
                <w:vertAlign w:val="subscript"/>
              </w:rPr>
              <w:t>2</w:t>
            </w:r>
            <w:r w:rsidRPr="0039478D">
              <w:rPr>
                <w:rFonts w:asciiTheme="minorHAnsi" w:hAnsiTheme="minorHAnsi" w:cs="Arial"/>
              </w:rPr>
              <w:t xml:space="preserve"> before enrichment</w:t>
            </w:r>
          </w:p>
        </w:tc>
        <w:tc>
          <w:tcPr>
            <w:tcW w:w="1800" w:type="dxa"/>
            <w:tcMar>
              <w:top w:w="115" w:type="dxa"/>
              <w:left w:w="115" w:type="dxa"/>
              <w:bottom w:w="115" w:type="dxa"/>
              <w:right w:w="115" w:type="dxa"/>
            </w:tcMar>
          </w:tcPr>
          <w:p w:rsidR="009E468D" w:rsidRPr="0039478D" w:rsidRDefault="009E468D" w:rsidP="0081624C">
            <w:pPr>
              <w:autoSpaceDE w:val="0"/>
              <w:adjustRightInd w:val="0"/>
              <w:spacing w:before="100" w:beforeAutospacing="1" w:after="100" w:afterAutospacing="1"/>
              <w:textAlignment w:val="auto"/>
              <w:rPr>
                <w:rFonts w:asciiTheme="minorHAnsi" w:hAnsiTheme="minorHAnsi" w:cs="Arial"/>
              </w:rPr>
            </w:pPr>
            <w:r w:rsidRPr="0039478D">
              <w:rPr>
                <w:rFonts w:asciiTheme="minorHAnsi" w:hAnsiTheme="minorHAnsi" w:cs="Arial"/>
              </w:rPr>
              <w:t>(b) in F</w:t>
            </w:r>
            <w:r w:rsidRPr="0039478D">
              <w:rPr>
                <w:rFonts w:asciiTheme="minorHAnsi" w:hAnsiTheme="minorHAnsi" w:cs="Arial"/>
                <w:vertAlign w:val="subscript"/>
              </w:rPr>
              <w:t>2</w:t>
            </w:r>
            <w:r w:rsidRPr="0039478D">
              <w:rPr>
                <w:rFonts w:asciiTheme="minorHAnsi" w:hAnsiTheme="minorHAnsi" w:cs="Arial"/>
              </w:rPr>
              <w:t xml:space="preserve"> after enrichment</w:t>
            </w:r>
          </w:p>
        </w:tc>
        <w:tc>
          <w:tcPr>
            <w:tcW w:w="1890" w:type="dxa"/>
            <w:tcMar>
              <w:top w:w="115" w:type="dxa"/>
              <w:left w:w="115" w:type="dxa"/>
              <w:bottom w:w="115" w:type="dxa"/>
              <w:right w:w="115" w:type="dxa"/>
            </w:tcMar>
          </w:tcPr>
          <w:p w:rsidR="009E468D" w:rsidRPr="0039478D" w:rsidRDefault="009E468D" w:rsidP="0081624C">
            <w:pPr>
              <w:autoSpaceDE w:val="0"/>
              <w:adjustRightInd w:val="0"/>
              <w:spacing w:before="100" w:beforeAutospacing="1" w:after="100" w:afterAutospacing="1"/>
              <w:textAlignment w:val="auto"/>
              <w:rPr>
                <w:rFonts w:asciiTheme="minorHAnsi" w:hAnsiTheme="minorHAnsi" w:cs="Arial"/>
              </w:rPr>
            </w:pPr>
            <w:r w:rsidRPr="0039478D">
              <w:rPr>
                <w:rFonts w:asciiTheme="minorHAnsi" w:hAnsiTheme="minorHAnsi" w:cs="Arial"/>
              </w:rPr>
              <w:t>(c) in DH before enrichment</w:t>
            </w:r>
          </w:p>
        </w:tc>
        <w:tc>
          <w:tcPr>
            <w:tcW w:w="1890" w:type="dxa"/>
            <w:tcMar>
              <w:top w:w="115" w:type="dxa"/>
              <w:left w:w="115" w:type="dxa"/>
              <w:bottom w:w="115" w:type="dxa"/>
              <w:right w:w="115" w:type="dxa"/>
            </w:tcMar>
          </w:tcPr>
          <w:p w:rsidR="009E468D" w:rsidRPr="0039478D" w:rsidRDefault="009E468D" w:rsidP="0081624C">
            <w:pPr>
              <w:autoSpaceDE w:val="0"/>
              <w:adjustRightInd w:val="0"/>
              <w:spacing w:before="100" w:beforeAutospacing="1" w:after="100" w:afterAutospacing="1"/>
              <w:textAlignment w:val="auto"/>
              <w:rPr>
                <w:rFonts w:asciiTheme="minorHAnsi" w:hAnsiTheme="minorHAnsi" w:cs="Arial"/>
              </w:rPr>
            </w:pPr>
            <w:r w:rsidRPr="0039478D">
              <w:rPr>
                <w:rFonts w:asciiTheme="minorHAnsi" w:hAnsiTheme="minorHAnsi" w:cs="Arial"/>
              </w:rPr>
              <w:t>(d) in DH after enrichment</w:t>
            </w: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1</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lastRenderedPageBreak/>
              <w:t>2</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3</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4</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5</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6</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7</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8</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9</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r w:rsidR="009E468D" w:rsidRPr="0039478D" w:rsidTr="0081624C">
        <w:trPr>
          <w:jc w:val="center"/>
        </w:trPr>
        <w:tc>
          <w:tcPr>
            <w:tcW w:w="1278"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r w:rsidRPr="0039478D">
              <w:rPr>
                <w:rFonts w:asciiTheme="minorHAnsi" w:hAnsiTheme="minorHAnsi" w:cs="Arial"/>
              </w:rPr>
              <w:t>10</w:t>
            </w: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0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c>
          <w:tcPr>
            <w:tcW w:w="1890" w:type="dxa"/>
            <w:tcMar>
              <w:top w:w="115" w:type="dxa"/>
              <w:left w:w="115" w:type="dxa"/>
              <w:bottom w:w="115" w:type="dxa"/>
              <w:right w:w="115" w:type="dxa"/>
            </w:tcMar>
            <w:vAlign w:val="center"/>
          </w:tcPr>
          <w:p w:rsidR="009E468D" w:rsidRPr="0039478D" w:rsidRDefault="009E468D" w:rsidP="0081624C">
            <w:pPr>
              <w:autoSpaceDE w:val="0"/>
              <w:adjustRightInd w:val="0"/>
              <w:spacing w:before="100" w:beforeAutospacing="1" w:after="100" w:afterAutospacing="1" w:line="320" w:lineRule="exact"/>
              <w:textAlignment w:val="auto"/>
              <w:rPr>
                <w:rFonts w:asciiTheme="minorHAnsi" w:hAnsiTheme="minorHAnsi" w:cs="Arial"/>
              </w:rPr>
            </w:pPr>
          </w:p>
        </w:tc>
      </w:tr>
    </w:tbl>
    <w:p w:rsidR="009E468D" w:rsidRPr="0039478D" w:rsidRDefault="009E468D" w:rsidP="009E468D">
      <w:pPr>
        <w:autoSpaceDE w:val="0"/>
        <w:adjustRightInd w:val="0"/>
        <w:spacing w:after="0" w:line="320" w:lineRule="exact"/>
        <w:rPr>
          <w:rFonts w:cs="Arial"/>
          <w:b/>
        </w:rPr>
      </w:pPr>
    </w:p>
    <w:p w:rsidR="000A67A4" w:rsidRPr="0039478D" w:rsidRDefault="000A67A4" w:rsidP="005A1247">
      <w:pPr>
        <w:rPr>
          <w:b/>
        </w:rPr>
      </w:pPr>
    </w:p>
    <w:p w:rsidR="005A1247" w:rsidRPr="0039478D" w:rsidRDefault="005A1247" w:rsidP="005A1247">
      <w:r w:rsidRPr="0039478D">
        <w:rPr>
          <w:b/>
        </w:rPr>
        <w:t>Tentative answers</w:t>
      </w:r>
      <w:r w:rsidRPr="0039478D">
        <w:t xml:space="preserve"> (can differ, based on context / assumptions made)</w:t>
      </w:r>
    </w:p>
    <w:p w:rsidR="004276C7" w:rsidRDefault="004276C7"/>
    <w:sectPr w:rsidR="004276C7" w:rsidSect="0032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1310"/>
    <w:multiLevelType w:val="hybridMultilevel"/>
    <w:tmpl w:val="2EF61A88"/>
    <w:lvl w:ilvl="0" w:tplc="56742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26083"/>
    <w:multiLevelType w:val="hybridMultilevel"/>
    <w:tmpl w:val="E8A8F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08AE"/>
    <w:multiLevelType w:val="hybridMultilevel"/>
    <w:tmpl w:val="FBA82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A0766D"/>
    <w:multiLevelType w:val="hybridMultilevel"/>
    <w:tmpl w:val="1100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64597"/>
    <w:multiLevelType w:val="hybridMultilevel"/>
    <w:tmpl w:val="AAFC1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2"/>
  </w:compat>
  <w:rsids>
    <w:rsidRoot w:val="001D36A5"/>
    <w:rsid w:val="000770B2"/>
    <w:rsid w:val="000A67A4"/>
    <w:rsid w:val="00107D1C"/>
    <w:rsid w:val="001D36A5"/>
    <w:rsid w:val="00241873"/>
    <w:rsid w:val="00326C2D"/>
    <w:rsid w:val="00383175"/>
    <w:rsid w:val="0039478D"/>
    <w:rsid w:val="004276C7"/>
    <w:rsid w:val="00470C1E"/>
    <w:rsid w:val="004B65E4"/>
    <w:rsid w:val="004E6169"/>
    <w:rsid w:val="005A1247"/>
    <w:rsid w:val="006150D8"/>
    <w:rsid w:val="00640813"/>
    <w:rsid w:val="006A1428"/>
    <w:rsid w:val="00780B08"/>
    <w:rsid w:val="00844031"/>
    <w:rsid w:val="008B2748"/>
    <w:rsid w:val="008F4CAE"/>
    <w:rsid w:val="0096409C"/>
    <w:rsid w:val="009D4535"/>
    <w:rsid w:val="009E468D"/>
    <w:rsid w:val="00A106A3"/>
    <w:rsid w:val="00BA21C5"/>
    <w:rsid w:val="00C9063E"/>
    <w:rsid w:val="00CD6547"/>
    <w:rsid w:val="00D5090A"/>
    <w:rsid w:val="00D57B93"/>
    <w:rsid w:val="00E13CA6"/>
    <w:rsid w:val="00E15D0A"/>
    <w:rsid w:val="00F431A1"/>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DC96E-4436-4B95-B956-7AE90A28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A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0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13"/>
    <w:rPr>
      <w:rFonts w:ascii="Tahoma" w:hAnsi="Tahoma" w:cs="Tahoma"/>
      <w:sz w:val="16"/>
      <w:szCs w:val="16"/>
    </w:rPr>
  </w:style>
  <w:style w:type="character" w:customStyle="1" w:styleId="apple-converted-space">
    <w:name w:val="apple-converted-space"/>
    <w:basedOn w:val="DefaultParagraphFont"/>
    <w:rsid w:val="00E13CA6"/>
  </w:style>
  <w:style w:type="table" w:styleId="TableGrid">
    <w:name w:val="Table Grid"/>
    <w:basedOn w:val="TableNormal"/>
    <w:uiPriority w:val="59"/>
    <w:rsid w:val="009E468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E468D"/>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E468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41873"/>
    <w:rPr>
      <w:sz w:val="16"/>
      <w:szCs w:val="16"/>
    </w:rPr>
  </w:style>
  <w:style w:type="paragraph" w:styleId="CommentSubject">
    <w:name w:val="annotation subject"/>
    <w:basedOn w:val="CommentText"/>
    <w:next w:val="CommentText"/>
    <w:link w:val="CommentSubjectChar"/>
    <w:uiPriority w:val="99"/>
    <w:semiHidden/>
    <w:unhideWhenUsed/>
    <w:rsid w:val="00241873"/>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1873"/>
    <w:rPr>
      <w:rFonts w:ascii="Calibri" w:eastAsia="Calibri" w:hAnsi="Calibri" w:cs="Times New Roman"/>
      <w:b/>
      <w:bCs/>
      <w:sz w:val="20"/>
      <w:szCs w:val="20"/>
    </w:rPr>
  </w:style>
  <w:style w:type="paragraph" w:styleId="NoSpacing">
    <w:name w:val="No Spacing"/>
    <w:uiPriority w:val="1"/>
    <w:qFormat/>
    <w:rsid w:val="00D5090A"/>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077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1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springer.com/article/10.1007%2Fs11032-004-273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Anderson, Gretchen C [AGRON]</cp:lastModifiedBy>
  <cp:revision>7</cp:revision>
  <dcterms:created xsi:type="dcterms:W3CDTF">2014-11-28T19:35:00Z</dcterms:created>
  <dcterms:modified xsi:type="dcterms:W3CDTF">2015-12-18T18:00:00Z</dcterms:modified>
</cp:coreProperties>
</file>