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E4" w:rsidRPr="002D4045" w:rsidRDefault="008B34AA">
      <w:pPr>
        <w:rPr>
          <w:b/>
        </w:rPr>
      </w:pPr>
      <w:r>
        <w:rPr>
          <w:b/>
        </w:rPr>
        <w:t>ALA3.1</w:t>
      </w:r>
      <w:r w:rsidR="002D4045">
        <w:rPr>
          <w:b/>
        </w:rPr>
        <w:t xml:space="preserve"> </w:t>
      </w:r>
      <w:r>
        <w:rPr>
          <w:b/>
        </w:rPr>
        <w:t>Interpretation of operation characteristic curves for GM testing</w:t>
      </w:r>
    </w:p>
    <w:p w:rsidR="002D4045" w:rsidRPr="002D4045" w:rsidRDefault="002D4045" w:rsidP="002D4045">
      <w:pPr>
        <w:jc w:val="both"/>
        <w:rPr>
          <w:b/>
        </w:rPr>
      </w:pPr>
      <w:r w:rsidRPr="002D4045">
        <w:rPr>
          <w:b/>
        </w:rPr>
        <w:t>Prerequisites</w:t>
      </w:r>
    </w:p>
    <w:p w:rsidR="002D4045" w:rsidRDefault="000872DB" w:rsidP="002D4045">
      <w:pPr>
        <w:jc w:val="both"/>
      </w:pPr>
      <w:r>
        <w:t>Understanding of:</w:t>
      </w:r>
    </w:p>
    <w:p w:rsidR="000872DB" w:rsidRPr="000872DB" w:rsidRDefault="000872DB" w:rsidP="000872DB">
      <w:pPr>
        <w:pStyle w:val="NoSpacing"/>
        <w:numPr>
          <w:ilvl w:val="0"/>
          <w:numId w:val="6"/>
        </w:numPr>
        <w:spacing w:line="360" w:lineRule="auto"/>
        <w:rPr>
          <w:rFonts w:asciiTheme="minorHAnsi" w:hAnsiTheme="minorHAnsi" w:cs="Arial"/>
        </w:rPr>
      </w:pPr>
      <w:r w:rsidRPr="000872DB">
        <w:rPr>
          <w:rFonts w:asciiTheme="minorHAnsi" w:hAnsiTheme="minorHAnsi" w:cs="Arial"/>
        </w:rPr>
        <w:t>S</w:t>
      </w:r>
      <w:r w:rsidRPr="000872DB">
        <w:rPr>
          <w:rFonts w:asciiTheme="minorHAnsi" w:hAnsiTheme="minorHAnsi" w:cs="Arial"/>
        </w:rPr>
        <w:t>ources of error in marker data development</w:t>
      </w:r>
    </w:p>
    <w:p w:rsidR="000872DB" w:rsidRPr="000872DB" w:rsidRDefault="000872DB" w:rsidP="000872DB">
      <w:pPr>
        <w:pStyle w:val="NoSpacing"/>
        <w:numPr>
          <w:ilvl w:val="0"/>
          <w:numId w:val="6"/>
        </w:numPr>
        <w:spacing w:line="360" w:lineRule="auto"/>
        <w:rPr>
          <w:rFonts w:asciiTheme="minorHAnsi" w:hAnsiTheme="minorHAnsi" w:cs="Arial"/>
        </w:rPr>
      </w:pPr>
      <w:r w:rsidRPr="000872DB">
        <w:rPr>
          <w:rFonts w:asciiTheme="minorHAnsi" w:hAnsiTheme="minorHAnsi" w:cs="Arial"/>
        </w:rPr>
        <w:t>A</w:t>
      </w:r>
      <w:r w:rsidRPr="000872DB">
        <w:rPr>
          <w:rFonts w:asciiTheme="minorHAnsi" w:hAnsiTheme="minorHAnsi" w:cs="Arial"/>
        </w:rPr>
        <w:t>pproaches to minimize errors in marker data development</w:t>
      </w:r>
    </w:p>
    <w:p w:rsidR="000872DB" w:rsidRPr="000872DB" w:rsidRDefault="000872DB" w:rsidP="000872DB">
      <w:pPr>
        <w:pStyle w:val="NoSpacing"/>
        <w:numPr>
          <w:ilvl w:val="0"/>
          <w:numId w:val="6"/>
        </w:numPr>
        <w:spacing w:line="360" w:lineRule="auto"/>
        <w:rPr>
          <w:rFonts w:asciiTheme="minorHAnsi" w:hAnsiTheme="minorHAnsi" w:cs="Arial"/>
        </w:rPr>
      </w:pPr>
      <w:r w:rsidRPr="000872DB">
        <w:rPr>
          <w:rFonts w:asciiTheme="minorHAnsi" w:hAnsiTheme="minorHAnsi" w:cs="Arial"/>
        </w:rPr>
        <w:t>Testing procedures for genetic modifications</w:t>
      </w:r>
    </w:p>
    <w:p w:rsidR="002D4045" w:rsidRPr="00817C2F" w:rsidRDefault="002D4045" w:rsidP="002D4045">
      <w:pPr>
        <w:jc w:val="both"/>
        <w:rPr>
          <w:b/>
        </w:rPr>
      </w:pPr>
      <w:bookmarkStart w:id="0" w:name="_GoBack"/>
      <w:r w:rsidRPr="00817C2F">
        <w:rPr>
          <w:b/>
        </w:rPr>
        <w:t>Purpose</w:t>
      </w:r>
    </w:p>
    <w:bookmarkEnd w:id="0"/>
    <w:p w:rsidR="002D4045" w:rsidRDefault="008B34AA" w:rsidP="002D4045">
      <w:pPr>
        <w:jc w:val="both"/>
      </w:pPr>
      <w:r>
        <w:t>Provide understanding that GM testing has to satisfy conflicting interest</w:t>
      </w:r>
      <w:r w:rsidR="009303F5">
        <w:t>s</w:t>
      </w:r>
      <w:r>
        <w:t xml:space="preserve">: those of GM seed providers, and the general public. GM testing procedures have to balance the risk to both parties, and are constrained by </w:t>
      </w:r>
      <w:r w:rsidR="00A9512E">
        <w:t>legislation (GM threshold) and technical capabilities of GM assays.</w:t>
      </w:r>
    </w:p>
    <w:p w:rsidR="004A0079" w:rsidRPr="00817C2F" w:rsidRDefault="004A0079" w:rsidP="004A0079">
      <w:pPr>
        <w:jc w:val="both"/>
        <w:rPr>
          <w:b/>
        </w:rPr>
      </w:pPr>
      <w:r w:rsidRPr="00817C2F">
        <w:rPr>
          <w:b/>
        </w:rPr>
        <w:t>Background</w:t>
      </w:r>
    </w:p>
    <w:p w:rsidR="00A9512E" w:rsidRPr="0078475B" w:rsidRDefault="0078475B" w:rsidP="0078475B">
      <w:pPr>
        <w:jc w:val="both"/>
      </w:pPr>
      <w:r w:rsidRPr="0078475B">
        <w:t>A</w:t>
      </w:r>
      <w:r>
        <w:t xml:space="preserve">uthorization of GM events depends on the legislation in a country, and involves a thorough </w:t>
      </w:r>
      <w:r w:rsidR="009303F5">
        <w:t>study of</w:t>
      </w:r>
      <w:r>
        <w:t xml:space="preserve"> the impact of GM events on health and ecology, among others. Countries that allow cultivation </w:t>
      </w:r>
      <w:r w:rsidR="00A43755">
        <w:t xml:space="preserve">or utilization </w:t>
      </w:r>
      <w:r>
        <w:t xml:space="preserve">of GM crops, have </w:t>
      </w:r>
      <w:r w:rsidR="00A43755">
        <w:t xml:space="preserve">established legislation on acceptable % of GM seed in supposedly GM free varieties used for sowing (usually 0%) or for feeding (such as GM maize and soybean in European countries: 0,9%). Those countries perform tests for GM% in seed lots, often in public or contracted certified laboratories. The problem is, that destructive tests required for DNA isolation make it impossible to determine the true GM% in a seed lot (would also be too expensive to test large numbers of kernels). Thus, proper sampling strategies have to be developed to estimate GM% of seed lots. Due to sampling error, GM% can be over- or underestimated.  </w:t>
      </w:r>
    </w:p>
    <w:p w:rsidR="0044597A" w:rsidRDefault="00B91D82">
      <w:pPr>
        <w:rPr>
          <w:b/>
        </w:rPr>
      </w:pPr>
      <w:r w:rsidRPr="00B91D82">
        <w:rPr>
          <w:b/>
        </w:rPr>
        <w:t>Tasks</w:t>
      </w:r>
    </w:p>
    <w:p w:rsidR="008C41FF" w:rsidRDefault="008C41FF" w:rsidP="008C41FF">
      <w:pPr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Suppose that the criteria involve sampling and testing 500 individual seeds, and to reject the lot if more than 1% of the seeds test positive for a transgenic trait. </w:t>
      </w:r>
    </w:p>
    <w:p w:rsidR="008C41FF" w:rsidRPr="008C41FF" w:rsidRDefault="008C41FF" w:rsidP="008C41FF">
      <w:pPr>
        <w:pStyle w:val="ListParagraph"/>
        <w:numPr>
          <w:ilvl w:val="0"/>
          <w:numId w:val="5"/>
        </w:numPr>
      </w:pPr>
      <w:r w:rsidRPr="008C41FF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Based on the set criteria</w:t>
      </w:r>
      <w:r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,</w:t>
      </w:r>
      <w:r w:rsidRPr="008C41FF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 operating characteristic (OC)</w:t>
      </w:r>
      <w:r>
        <w:rPr>
          <w:rStyle w:val="apple-converted-space"/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 curves in Figures A and B (two curves: dotted, solid line)</w:t>
      </w:r>
      <w:r w:rsidRPr="008C41FF">
        <w:rPr>
          <w:rStyle w:val="apple-converted-space"/>
          <w:rFonts w:ascii="Helvetica" w:hAnsi="Helvetica" w:cs="Helvetica"/>
          <w:color w:val="111111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below </w:t>
      </w:r>
      <w:r w:rsidRPr="008C41FF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were obtained. For each OC curve </w:t>
      </w:r>
      <w:r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describe the implications to seed</w:t>
      </w:r>
      <w:r w:rsidRPr="008C41FF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 producers and consumers</w:t>
      </w:r>
      <w:r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 (general public), and compare with Figure 6 in </w:t>
      </w:r>
      <w:proofErr w:type="spellStart"/>
      <w:r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eModule</w:t>
      </w:r>
      <w:proofErr w:type="spellEnd"/>
      <w:r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 3.</w:t>
      </w:r>
    </w:p>
    <w:p w:rsidR="008C41FF" w:rsidRDefault="009303F5" w:rsidP="008C41FF">
      <w:pPr>
        <w:pStyle w:val="ListParagraph"/>
        <w:numPr>
          <w:ilvl w:val="0"/>
          <w:numId w:val="5"/>
        </w:numPr>
      </w:pPr>
      <w:r>
        <w:t xml:space="preserve">Figures A and B are based on the assumptions, that marker assays used for GM detection are free of error. How are OC curves and respective testing procedures affected, if marker-assays have a) 10% false positive, and b) 10% false negative detection </w:t>
      </w:r>
      <w:proofErr w:type="gramStart"/>
      <w:r>
        <w:t>rates ?</w:t>
      </w:r>
      <w:proofErr w:type="gramEnd"/>
    </w:p>
    <w:p w:rsidR="009303F5" w:rsidRDefault="009303F5" w:rsidP="008C41FF">
      <w:pPr>
        <w:pStyle w:val="ListParagraph"/>
        <w:numPr>
          <w:ilvl w:val="0"/>
          <w:numId w:val="5"/>
        </w:numPr>
      </w:pPr>
      <w:r>
        <w:t>Given sampling and laboratory error, consider the optimal testing procedure in case of a 0 (zero) GM tolerance, as discussed in European countries.</w:t>
      </w:r>
    </w:p>
    <w:p w:rsidR="008C41FF" w:rsidRDefault="008C41FF">
      <w:pPr>
        <w:rPr>
          <w:b/>
        </w:rPr>
      </w:pPr>
    </w:p>
    <w:p w:rsidR="008C41FF" w:rsidRDefault="008C41FF">
      <w:pPr>
        <w:rPr>
          <w:b/>
        </w:rPr>
      </w:pPr>
    </w:p>
    <w:p w:rsidR="008C41FF" w:rsidRDefault="008C41FF">
      <w:pPr>
        <w:rPr>
          <w:b/>
        </w:rPr>
      </w:pPr>
    </w:p>
    <w:p w:rsidR="008C41FF" w:rsidRDefault="008C41FF">
      <w:pPr>
        <w:rPr>
          <w:b/>
        </w:rPr>
      </w:pPr>
    </w:p>
    <w:p w:rsidR="008C41FF" w:rsidRDefault="008C41FF">
      <w:pPr>
        <w:rPr>
          <w:b/>
        </w:rPr>
      </w:pPr>
    </w:p>
    <w:p w:rsidR="008C41FF" w:rsidRDefault="008C41FF">
      <w:pPr>
        <w:rPr>
          <w:b/>
        </w:rPr>
      </w:pPr>
    </w:p>
    <w:p w:rsidR="008C41FF" w:rsidRDefault="008C41FF">
      <w:pPr>
        <w:rPr>
          <w:b/>
        </w:rPr>
      </w:pPr>
    </w:p>
    <w:p w:rsidR="008C41FF" w:rsidRPr="00B91D82" w:rsidRDefault="008C41FF">
      <w:pPr>
        <w:rPr>
          <w:b/>
        </w:rPr>
      </w:pPr>
      <w:r>
        <w:rPr>
          <w:b/>
        </w:rPr>
        <w:t>Figure A</w:t>
      </w:r>
    </w:p>
    <w:p w:rsidR="005D532A" w:rsidRDefault="008C41FF" w:rsidP="005E0C20">
      <w:r w:rsidRPr="008C41FF">
        <w:rPr>
          <w:noProof/>
        </w:rPr>
        <w:drawing>
          <wp:inline distT="0" distB="0" distL="0" distR="0">
            <wp:extent cx="4019550" cy="359760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535" cy="360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1FF" w:rsidRDefault="008C41FF" w:rsidP="005E0C20"/>
    <w:p w:rsidR="005D532A" w:rsidRDefault="008C41FF" w:rsidP="005E0C20">
      <w:r>
        <w:lastRenderedPageBreak/>
        <w:t>Figure B</w:t>
      </w:r>
      <w:r w:rsidRPr="008C41FF">
        <w:rPr>
          <w:noProof/>
        </w:rPr>
        <w:drawing>
          <wp:inline distT="0" distB="0" distL="0" distR="0">
            <wp:extent cx="5943600" cy="36392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2A" w:rsidRDefault="005D532A" w:rsidP="005E0C20"/>
    <w:p w:rsidR="005D532A" w:rsidRDefault="008C41FF" w:rsidP="005D532A">
      <w:r>
        <w:rPr>
          <w:b/>
        </w:rPr>
        <w:t>T</w:t>
      </w:r>
      <w:r w:rsidR="005D532A" w:rsidRPr="00BA6D82">
        <w:rPr>
          <w:b/>
        </w:rPr>
        <w:t>entative answers</w:t>
      </w:r>
      <w:r w:rsidR="005D532A">
        <w:t xml:space="preserve"> (can differ, based on context / assumptions made)</w:t>
      </w:r>
    </w:p>
    <w:sectPr w:rsidR="005D5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4134"/>
    <w:multiLevelType w:val="hybridMultilevel"/>
    <w:tmpl w:val="15142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1738"/>
    <w:multiLevelType w:val="hybridMultilevel"/>
    <w:tmpl w:val="400EA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50FF1"/>
    <w:multiLevelType w:val="hybridMultilevel"/>
    <w:tmpl w:val="C39013B2"/>
    <w:lvl w:ilvl="0" w:tplc="DD606368">
      <w:start w:val="1"/>
      <w:numFmt w:val="decimal"/>
      <w:lvlText w:val="%1.)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34898"/>
    <w:multiLevelType w:val="hybridMultilevel"/>
    <w:tmpl w:val="617AF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64BF7"/>
    <w:multiLevelType w:val="hybridMultilevel"/>
    <w:tmpl w:val="A52056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D4DCE"/>
    <w:multiLevelType w:val="hybridMultilevel"/>
    <w:tmpl w:val="038C707C"/>
    <w:lvl w:ilvl="0" w:tplc="CDA84358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11111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7E"/>
    <w:rsid w:val="000872DB"/>
    <w:rsid w:val="000A0876"/>
    <w:rsid w:val="00170E3C"/>
    <w:rsid w:val="0026637E"/>
    <w:rsid w:val="002D4045"/>
    <w:rsid w:val="0044597A"/>
    <w:rsid w:val="004A0079"/>
    <w:rsid w:val="004B65E4"/>
    <w:rsid w:val="005D532A"/>
    <w:rsid w:val="005E0C20"/>
    <w:rsid w:val="0078475B"/>
    <w:rsid w:val="008B34AA"/>
    <w:rsid w:val="008C41FF"/>
    <w:rsid w:val="009303F5"/>
    <w:rsid w:val="00A20A69"/>
    <w:rsid w:val="00A43755"/>
    <w:rsid w:val="00A9512E"/>
    <w:rsid w:val="00B9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EF3D1-5FFF-4826-8FB0-53E7559D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97A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C41FF"/>
  </w:style>
  <w:style w:type="character" w:styleId="Hyperlink">
    <w:name w:val="Hyperlink"/>
    <w:basedOn w:val="DefaultParagraphFont"/>
    <w:uiPriority w:val="99"/>
    <w:semiHidden/>
    <w:unhideWhenUsed/>
    <w:rsid w:val="008C41FF"/>
    <w:rPr>
      <w:color w:val="0000FF"/>
      <w:u w:val="single"/>
    </w:rPr>
  </w:style>
  <w:style w:type="paragraph" w:styleId="NoSpacing">
    <w:name w:val="No Spacing"/>
    <w:uiPriority w:val="1"/>
    <w:qFormat/>
    <w:rsid w:val="000872D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Lubberstedt, Thomas [AGRON]</dc:creator>
  <cp:lastModifiedBy>Lubberstedt, Thomas [AGRON]</cp:lastModifiedBy>
  <cp:revision>11</cp:revision>
  <dcterms:created xsi:type="dcterms:W3CDTF">2014-07-12T14:38:00Z</dcterms:created>
  <dcterms:modified xsi:type="dcterms:W3CDTF">2014-12-01T13:52:00Z</dcterms:modified>
</cp:coreProperties>
</file>