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5E4" w:rsidRPr="002D4045" w:rsidRDefault="00B92120">
      <w:pPr>
        <w:rPr>
          <w:b/>
        </w:rPr>
      </w:pPr>
      <w:r>
        <w:rPr>
          <w:b/>
        </w:rPr>
        <w:t>ALA12</w:t>
      </w:r>
      <w:r w:rsidR="00A218A9">
        <w:rPr>
          <w:b/>
        </w:rPr>
        <w:t>.</w:t>
      </w:r>
      <w:r w:rsidR="008B34AA">
        <w:rPr>
          <w:b/>
        </w:rPr>
        <w:t>1</w:t>
      </w:r>
      <w:r w:rsidR="002D4045">
        <w:rPr>
          <w:b/>
        </w:rPr>
        <w:t xml:space="preserve"> </w:t>
      </w:r>
      <w:r>
        <w:rPr>
          <w:b/>
        </w:rPr>
        <w:t>Use of marker for patent protection</w:t>
      </w:r>
    </w:p>
    <w:p w:rsidR="002D4045" w:rsidRPr="002D4045" w:rsidRDefault="002D4045" w:rsidP="002D4045">
      <w:pPr>
        <w:jc w:val="both"/>
        <w:rPr>
          <w:b/>
        </w:rPr>
      </w:pPr>
      <w:r w:rsidRPr="002D4045">
        <w:rPr>
          <w:b/>
        </w:rPr>
        <w:t>Prerequisites</w:t>
      </w:r>
    </w:p>
    <w:p w:rsidR="002D4045" w:rsidRDefault="00544FB1" w:rsidP="002D4045">
      <w:pPr>
        <w:jc w:val="both"/>
      </w:pPr>
      <w:r>
        <w:t>Understanding of:</w:t>
      </w:r>
    </w:p>
    <w:p w:rsidR="00544FB1" w:rsidRPr="00FE08A3" w:rsidRDefault="00544FB1" w:rsidP="00544FB1">
      <w:pPr>
        <w:pStyle w:val="ListParagraph"/>
        <w:numPr>
          <w:ilvl w:val="0"/>
          <w:numId w:val="14"/>
        </w:numPr>
        <w:spacing w:line="240" w:lineRule="exact"/>
        <w:rPr>
          <w:rFonts w:asciiTheme="minorHAnsi" w:hAnsiTheme="minorHAnsi" w:cs="Arial"/>
          <w:spacing w:val="-6"/>
        </w:rPr>
      </w:pPr>
      <w:r w:rsidRPr="00FE08A3">
        <w:rPr>
          <w:rFonts w:asciiTheme="minorHAnsi" w:hAnsiTheme="minorHAnsi" w:cs="Arial"/>
          <w:spacing w:val="-6"/>
        </w:rPr>
        <w:t xml:space="preserve">Role of international agencies (e.g., ISF, OECD, UPOV, AOSCA) involved in setting policies, regulations and rules for </w:t>
      </w:r>
    </w:p>
    <w:p w:rsidR="00544FB1" w:rsidRPr="00FE08A3" w:rsidRDefault="00544FB1" w:rsidP="00544FB1">
      <w:pPr>
        <w:pStyle w:val="ListParagraph"/>
        <w:numPr>
          <w:ilvl w:val="1"/>
          <w:numId w:val="14"/>
        </w:numPr>
        <w:spacing w:before="40" w:line="240" w:lineRule="exact"/>
        <w:ind w:left="1253" w:hanging="274"/>
        <w:rPr>
          <w:rFonts w:asciiTheme="minorHAnsi" w:hAnsiTheme="minorHAnsi" w:cs="Arial"/>
          <w:spacing w:val="-6"/>
        </w:rPr>
      </w:pPr>
      <w:r w:rsidRPr="00FE08A3">
        <w:rPr>
          <w:rFonts w:asciiTheme="minorHAnsi" w:hAnsiTheme="minorHAnsi" w:cs="Arial"/>
          <w:spacing w:val="-6"/>
        </w:rPr>
        <w:t>certified seed production</w:t>
      </w:r>
    </w:p>
    <w:p w:rsidR="00544FB1" w:rsidRPr="00FE08A3" w:rsidRDefault="00544FB1" w:rsidP="00544FB1">
      <w:pPr>
        <w:pStyle w:val="ListParagraph"/>
        <w:numPr>
          <w:ilvl w:val="1"/>
          <w:numId w:val="14"/>
        </w:numPr>
        <w:spacing w:line="240" w:lineRule="exact"/>
        <w:ind w:left="1253" w:hanging="274"/>
        <w:rPr>
          <w:rFonts w:asciiTheme="minorHAnsi" w:hAnsiTheme="minorHAnsi" w:cs="Arial"/>
          <w:spacing w:val="-6"/>
        </w:rPr>
      </w:pPr>
      <w:r w:rsidRPr="00FE08A3">
        <w:rPr>
          <w:rFonts w:asciiTheme="minorHAnsi" w:hAnsiTheme="minorHAnsi" w:cs="Arial"/>
          <w:spacing w:val="-6"/>
        </w:rPr>
        <w:t>variety registration</w:t>
      </w:r>
    </w:p>
    <w:p w:rsidR="00544FB1" w:rsidRPr="00FE08A3" w:rsidRDefault="00544FB1" w:rsidP="00544FB1">
      <w:pPr>
        <w:pStyle w:val="ListParagraph"/>
        <w:numPr>
          <w:ilvl w:val="1"/>
          <w:numId w:val="14"/>
        </w:numPr>
        <w:spacing w:line="240" w:lineRule="exact"/>
        <w:ind w:left="1253" w:hanging="274"/>
        <w:rPr>
          <w:rFonts w:asciiTheme="minorHAnsi" w:hAnsiTheme="minorHAnsi" w:cs="Arial"/>
          <w:spacing w:val="-6"/>
          <w:sz w:val="20"/>
          <w:szCs w:val="20"/>
        </w:rPr>
      </w:pPr>
      <w:r w:rsidRPr="00FE08A3">
        <w:rPr>
          <w:rFonts w:asciiTheme="minorHAnsi" w:hAnsiTheme="minorHAnsi" w:cs="Arial"/>
          <w:spacing w:val="-6"/>
        </w:rPr>
        <w:t>variety protection</w:t>
      </w:r>
    </w:p>
    <w:p w:rsidR="00544FB1" w:rsidRPr="00FE08A3" w:rsidRDefault="00544FB1" w:rsidP="00544FB1">
      <w:pPr>
        <w:pStyle w:val="ListParagraph"/>
        <w:numPr>
          <w:ilvl w:val="0"/>
          <w:numId w:val="14"/>
        </w:numPr>
        <w:spacing w:before="40" w:line="240" w:lineRule="exact"/>
        <w:ind w:left="634" w:hanging="274"/>
        <w:rPr>
          <w:rFonts w:asciiTheme="minorHAnsi" w:hAnsiTheme="minorHAnsi" w:cs="Arial"/>
          <w:spacing w:val="-6"/>
        </w:rPr>
      </w:pPr>
      <w:r w:rsidRPr="00FE08A3">
        <w:rPr>
          <w:rFonts w:asciiTheme="minorHAnsi" w:hAnsiTheme="minorHAnsi" w:cs="Arial"/>
          <w:spacing w:val="-6"/>
        </w:rPr>
        <w:t>Use of genomic tools for monitoring and detecting absence or presence of transgenes and learn the concept of coexistence in relation to production and marketing of genetically modified (GM) and non-GM crops</w:t>
      </w:r>
    </w:p>
    <w:p w:rsidR="00544FB1" w:rsidRPr="00FE08A3" w:rsidRDefault="00544FB1" w:rsidP="00544FB1">
      <w:pPr>
        <w:pStyle w:val="ListParagraph"/>
        <w:numPr>
          <w:ilvl w:val="0"/>
          <w:numId w:val="14"/>
        </w:numPr>
        <w:spacing w:before="40" w:line="240" w:lineRule="exact"/>
        <w:ind w:left="634" w:hanging="274"/>
        <w:rPr>
          <w:rFonts w:asciiTheme="minorHAnsi" w:hAnsiTheme="minorHAnsi" w:cs="Arial"/>
          <w:spacing w:val="-6"/>
        </w:rPr>
      </w:pPr>
      <w:r w:rsidRPr="00FE08A3">
        <w:rPr>
          <w:rFonts w:asciiTheme="minorHAnsi" w:hAnsiTheme="minorHAnsi" w:cs="Arial"/>
          <w:spacing w:val="-6"/>
        </w:rPr>
        <w:t>Use of DNA and non-DNA markers for variety registration and variety protection</w:t>
      </w:r>
    </w:p>
    <w:p w:rsidR="00544FB1" w:rsidRDefault="00544FB1" w:rsidP="002D4045">
      <w:pPr>
        <w:jc w:val="both"/>
        <w:rPr>
          <w:b/>
        </w:rPr>
      </w:pPr>
    </w:p>
    <w:p w:rsidR="009A3DA5" w:rsidRDefault="009A3DA5" w:rsidP="009A3DA5">
      <w:bookmarkStart w:id="0" w:name="_GoBack"/>
      <w:bookmarkEnd w:id="0"/>
      <w:r>
        <w:t>Read:</w:t>
      </w:r>
    </w:p>
    <w:p w:rsidR="009A3DA5" w:rsidRPr="009815FF" w:rsidRDefault="009A3DA5" w:rsidP="009A3DA5">
      <w:proofErr w:type="spellStart"/>
      <w:r w:rsidRPr="009815FF">
        <w:t>Pallottini</w:t>
      </w:r>
      <w:proofErr w:type="spellEnd"/>
      <w:r w:rsidRPr="009815FF">
        <w:t>,</w:t>
      </w:r>
      <w:r>
        <w:t xml:space="preserve"> L.,</w:t>
      </w:r>
      <w:r w:rsidRPr="009815FF">
        <w:t xml:space="preserve"> E. Garcia, J. Kami, G. </w:t>
      </w:r>
      <w:proofErr w:type="spellStart"/>
      <w:r w:rsidRPr="009815FF">
        <w:t>Barcaccia</w:t>
      </w:r>
      <w:proofErr w:type="spellEnd"/>
      <w:r w:rsidRPr="009815FF">
        <w:t xml:space="preserve"> and P. </w:t>
      </w:r>
      <w:proofErr w:type="spellStart"/>
      <w:r w:rsidRPr="009815FF">
        <w:t>Gepts</w:t>
      </w:r>
      <w:proofErr w:type="spellEnd"/>
      <w:r>
        <w:t xml:space="preserve">. 2004. The genetic anatomy of a patented yellow bean. </w:t>
      </w:r>
      <w:r w:rsidRPr="009815FF">
        <w:t>Crop Science</w:t>
      </w:r>
      <w:r>
        <w:t>.</w:t>
      </w:r>
      <w:r w:rsidRPr="00B95835">
        <w:t xml:space="preserve"> </w:t>
      </w:r>
      <w:r>
        <w:rPr>
          <w:rFonts w:ascii="Arial" w:hAnsi="Arial" w:cs="Arial"/>
          <w:color w:val="111111"/>
          <w:sz w:val="18"/>
          <w:szCs w:val="18"/>
          <w:shd w:val="clear" w:color="auto" w:fill="FFFFFF"/>
        </w:rPr>
        <w:t>44:968-977</w:t>
      </w:r>
      <w:r w:rsidRPr="00B95835">
        <w:t>.</w:t>
      </w:r>
      <w:r>
        <w:t xml:space="preserve"> Available online at </w:t>
      </w:r>
      <w:hyperlink r:id="rId5" w:history="1">
        <w:r w:rsidRPr="009815FF">
          <w:rPr>
            <w:rStyle w:val="Hyperlink"/>
          </w:rPr>
          <w:t>https://dl.sciencesocieties.org/publications/cs/articles/44/3/968</w:t>
        </w:r>
      </w:hyperlink>
      <w:r>
        <w:t>.</w:t>
      </w:r>
    </w:p>
    <w:p w:rsidR="002D4045" w:rsidRPr="00817C2F" w:rsidRDefault="002D4045" w:rsidP="002D4045">
      <w:pPr>
        <w:jc w:val="both"/>
        <w:rPr>
          <w:b/>
        </w:rPr>
      </w:pPr>
      <w:r w:rsidRPr="00817C2F">
        <w:rPr>
          <w:b/>
        </w:rPr>
        <w:t>Purpose</w:t>
      </w:r>
    </w:p>
    <w:p w:rsidR="002D4045" w:rsidRDefault="00B92120" w:rsidP="002D4045">
      <w:pPr>
        <w:jc w:val="both"/>
      </w:pPr>
      <w:r>
        <w:t>Expose students to use of molecular markers for variety protection (here: patented varieties).</w:t>
      </w:r>
    </w:p>
    <w:p w:rsidR="004A0079" w:rsidRPr="00817C2F" w:rsidRDefault="004A0079" w:rsidP="004A0079">
      <w:pPr>
        <w:jc w:val="both"/>
        <w:rPr>
          <w:b/>
        </w:rPr>
      </w:pPr>
      <w:r w:rsidRPr="00817C2F">
        <w:rPr>
          <w:b/>
        </w:rPr>
        <w:t>Background</w:t>
      </w:r>
    </w:p>
    <w:p w:rsidR="00A9512E" w:rsidRPr="0078475B" w:rsidRDefault="00B92120" w:rsidP="0078475B">
      <w:pPr>
        <w:jc w:val="both"/>
      </w:pPr>
      <w:r>
        <w:t xml:space="preserve">In some countries like the U.S., varieties can be patented. Protecting patents based on phenotypic data alone can be difficult. DNA markers are </w:t>
      </w:r>
      <w:r w:rsidR="001E4CE4">
        <w:t xml:space="preserve">a </w:t>
      </w:r>
      <w:r>
        <w:t>useful tool to determine whether two varieties can be considered distinct or identical.</w:t>
      </w:r>
    </w:p>
    <w:p w:rsidR="00B92120" w:rsidRDefault="00B91D82" w:rsidP="00B92120">
      <w:pPr>
        <w:rPr>
          <w:b/>
        </w:rPr>
      </w:pPr>
      <w:r w:rsidRPr="00B91D82">
        <w:rPr>
          <w:b/>
        </w:rPr>
        <w:t>Tasks</w:t>
      </w:r>
    </w:p>
    <w:p w:rsidR="00B92120" w:rsidRPr="00B92120" w:rsidRDefault="00B92120" w:rsidP="00B92120">
      <w:pPr>
        <w:rPr>
          <w:b/>
        </w:rPr>
      </w:pPr>
      <w:r w:rsidRPr="00B92120">
        <w:t>This ALA r</w:t>
      </w:r>
      <w:r>
        <w:t xml:space="preserve">efers to the </w:t>
      </w:r>
      <w:proofErr w:type="spellStart"/>
      <w:r>
        <w:t>Pallotini</w:t>
      </w:r>
      <w:proofErr w:type="spellEnd"/>
      <w:r>
        <w:t xml:space="preserve"> et al. (2004) article in Crop Science, "The genetic anatomy of a patented yellow bean.”  Complete the following:</w:t>
      </w:r>
    </w:p>
    <w:p w:rsidR="00B92120" w:rsidRDefault="00B92120" w:rsidP="00B92120">
      <w:pPr>
        <w:pStyle w:val="ListParagraph"/>
        <w:numPr>
          <w:ilvl w:val="1"/>
          <w:numId w:val="12"/>
        </w:numPr>
        <w:snapToGrid w:val="0"/>
        <w:spacing w:line="360" w:lineRule="auto"/>
      </w:pPr>
      <w:r>
        <w:t>Look at the molecular technique(s) used to discriminate among different yellow bean strains and comment on the degree of “distinctiveness” that was detected. </w:t>
      </w:r>
    </w:p>
    <w:p w:rsidR="00B92120" w:rsidRDefault="00B92120" w:rsidP="00B92120">
      <w:pPr>
        <w:pStyle w:val="ListParagraph"/>
        <w:numPr>
          <w:ilvl w:val="1"/>
          <w:numId w:val="12"/>
        </w:numPr>
        <w:snapToGrid w:val="0"/>
        <w:spacing w:line="360" w:lineRule="auto"/>
      </w:pPr>
      <w:r>
        <w:t xml:space="preserve">Discuss the appropriateness of ALFP and other alternative genomic systems for genetic fingerprinting </w:t>
      </w:r>
      <w:r w:rsidR="001E4CE4">
        <w:t xml:space="preserve">that are </w:t>
      </w:r>
      <w:r>
        <w:t>used in patent infringement cases.</w:t>
      </w:r>
    </w:p>
    <w:p w:rsidR="00B92120" w:rsidRDefault="00B92120" w:rsidP="00B92120">
      <w:pPr>
        <w:pStyle w:val="ListParagraph"/>
        <w:numPr>
          <w:ilvl w:val="1"/>
          <w:numId w:val="12"/>
        </w:numPr>
        <w:snapToGrid w:val="0"/>
        <w:spacing w:line="360" w:lineRule="auto"/>
      </w:pPr>
      <w:r>
        <w:t>Discuss what implications the</w:t>
      </w:r>
      <w:r w:rsidR="001E4CE4">
        <w:t>se</w:t>
      </w:r>
      <w:r>
        <w:t xml:space="preserve"> findings could have on protection by patents vs. Plant Variety Protection and accusations of infringement. </w:t>
      </w:r>
    </w:p>
    <w:p w:rsidR="00B92120" w:rsidRDefault="00B92120" w:rsidP="00B92120">
      <w:pPr>
        <w:pStyle w:val="ListParagraph"/>
        <w:numPr>
          <w:ilvl w:val="1"/>
          <w:numId w:val="12"/>
        </w:numPr>
        <w:snapToGrid w:val="0"/>
        <w:spacing w:line="360" w:lineRule="auto"/>
      </w:pPr>
      <w:r>
        <w:lastRenderedPageBreak/>
        <w:t>On the basis of the data in this article, would the cv. Enola be considered to be “essentially derivative” of any of the other yellow bean cultivars included in the analysis? </w:t>
      </w:r>
    </w:p>
    <w:p w:rsidR="008C41FF" w:rsidRDefault="008C41FF">
      <w:pPr>
        <w:rPr>
          <w:b/>
        </w:rPr>
      </w:pPr>
    </w:p>
    <w:p w:rsidR="005D532A" w:rsidRDefault="008C41FF" w:rsidP="005D532A">
      <w:r>
        <w:rPr>
          <w:b/>
        </w:rPr>
        <w:t>T</w:t>
      </w:r>
      <w:r w:rsidR="005D532A" w:rsidRPr="00BA6D82">
        <w:rPr>
          <w:b/>
        </w:rPr>
        <w:t>entative answers</w:t>
      </w:r>
      <w:r w:rsidR="005D532A">
        <w:t xml:space="preserve"> (can differ, based on context / assumptions made)</w:t>
      </w:r>
    </w:p>
    <w:sectPr w:rsidR="005D532A" w:rsidSect="00680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19098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D46C46"/>
    <w:multiLevelType w:val="hybridMultilevel"/>
    <w:tmpl w:val="8F762DEE"/>
    <w:lvl w:ilvl="0" w:tplc="04090001">
      <w:start w:val="1"/>
      <w:numFmt w:val="bullet"/>
      <w:lvlText w:val=""/>
      <w:lvlJc w:val="left"/>
      <w:pPr>
        <w:ind w:left="720" w:hanging="360"/>
      </w:pPr>
      <w:rPr>
        <w:rFonts w:ascii="Symbol" w:hAnsi="Symbol" w:hint="default"/>
      </w:rPr>
    </w:lvl>
    <w:lvl w:ilvl="1" w:tplc="81426072">
      <w:start w:val="1"/>
      <w:numFmt w:val="decimal"/>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1D4134"/>
    <w:multiLevelType w:val="hybridMultilevel"/>
    <w:tmpl w:val="15142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F1738"/>
    <w:multiLevelType w:val="hybridMultilevel"/>
    <w:tmpl w:val="400EA8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725C4"/>
    <w:multiLevelType w:val="hybridMultilevel"/>
    <w:tmpl w:val="FB78F7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2C31DF"/>
    <w:multiLevelType w:val="hybridMultilevel"/>
    <w:tmpl w:val="94F2B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634898"/>
    <w:multiLevelType w:val="hybridMultilevel"/>
    <w:tmpl w:val="617AF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164BF7"/>
    <w:multiLevelType w:val="hybridMultilevel"/>
    <w:tmpl w:val="A52056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2B44E50"/>
    <w:multiLevelType w:val="hybridMultilevel"/>
    <w:tmpl w:val="8F785CEA"/>
    <w:lvl w:ilvl="0" w:tplc="D676F3EA">
      <w:start w:val="1"/>
      <w:numFmt w:val="decimal"/>
      <w:lvlText w:val="%1.)"/>
      <w:lvlJc w:val="left"/>
      <w:pPr>
        <w:ind w:left="720" w:hanging="360"/>
      </w:pPr>
      <w:rPr>
        <w:rFonts w:asciiTheme="minorHAnsi" w:eastAsiaTheme="minorHAnsi" w:hAnsiTheme="minorHAns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CD4DCE"/>
    <w:multiLevelType w:val="hybridMultilevel"/>
    <w:tmpl w:val="038C707C"/>
    <w:lvl w:ilvl="0" w:tplc="CDA84358">
      <w:start w:val="1"/>
      <w:numFmt w:val="decimal"/>
      <w:lvlText w:val="%1)"/>
      <w:lvlJc w:val="left"/>
      <w:pPr>
        <w:ind w:left="720" w:hanging="360"/>
      </w:pPr>
      <w:rPr>
        <w:rFonts w:ascii="Helvetica" w:hAnsi="Helvetica" w:cs="Helvetica" w:hint="default"/>
        <w:color w:val="11111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216C52"/>
    <w:multiLevelType w:val="hybridMultilevel"/>
    <w:tmpl w:val="769844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722D6E"/>
    <w:multiLevelType w:val="hybridMultilevel"/>
    <w:tmpl w:val="7430BBBA"/>
    <w:lvl w:ilvl="0" w:tplc="8EF4BAD8">
      <w:start w:val="1"/>
      <w:numFmt w:val="decimal"/>
      <w:lvlText w:val="%1)"/>
      <w:lvlJc w:val="left"/>
      <w:pPr>
        <w:ind w:left="720" w:hanging="360"/>
      </w:pPr>
      <w:rPr>
        <w:rFonts w:ascii="Calibri" w:hAnsi="Calibri" w:cs="Times New Roman"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7F6621B"/>
    <w:multiLevelType w:val="hybridMultilevel"/>
    <w:tmpl w:val="318C3B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48463E"/>
    <w:multiLevelType w:val="hybridMultilevel"/>
    <w:tmpl w:val="664C00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2"/>
  </w:num>
  <w:num w:numId="5">
    <w:abstractNumId w:val="9"/>
  </w:num>
  <w:num w:numId="6">
    <w:abstractNumId w:val="12"/>
  </w:num>
  <w:num w:numId="7">
    <w:abstractNumId w:val="13"/>
  </w:num>
  <w:num w:numId="8">
    <w:abstractNumId w:val="4"/>
  </w:num>
  <w:num w:numId="9">
    <w:abstractNumId w:val="5"/>
  </w:num>
  <w:num w:numId="10">
    <w:abstractNumId w:val="1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37E"/>
    <w:rsid w:val="00025196"/>
    <w:rsid w:val="000A0876"/>
    <w:rsid w:val="00170E3C"/>
    <w:rsid w:val="001E4CE4"/>
    <w:rsid w:val="0026637E"/>
    <w:rsid w:val="002B566B"/>
    <w:rsid w:val="002D4045"/>
    <w:rsid w:val="003050A5"/>
    <w:rsid w:val="00340393"/>
    <w:rsid w:val="003B5FB6"/>
    <w:rsid w:val="0043651A"/>
    <w:rsid w:val="0044597A"/>
    <w:rsid w:val="00447A97"/>
    <w:rsid w:val="004A0079"/>
    <w:rsid w:val="004B65E4"/>
    <w:rsid w:val="004E0F92"/>
    <w:rsid w:val="00544FB1"/>
    <w:rsid w:val="00572817"/>
    <w:rsid w:val="005D532A"/>
    <w:rsid w:val="005E0C20"/>
    <w:rsid w:val="00644AAE"/>
    <w:rsid w:val="0068040A"/>
    <w:rsid w:val="0075607B"/>
    <w:rsid w:val="0078475B"/>
    <w:rsid w:val="007E667F"/>
    <w:rsid w:val="00843C0B"/>
    <w:rsid w:val="00875AD3"/>
    <w:rsid w:val="008B34AA"/>
    <w:rsid w:val="008C41FF"/>
    <w:rsid w:val="009303F5"/>
    <w:rsid w:val="009653B0"/>
    <w:rsid w:val="009A3DA5"/>
    <w:rsid w:val="009F1824"/>
    <w:rsid w:val="00A20A69"/>
    <w:rsid w:val="00A218A9"/>
    <w:rsid w:val="00A2601A"/>
    <w:rsid w:val="00A43755"/>
    <w:rsid w:val="00A9512E"/>
    <w:rsid w:val="00AB2794"/>
    <w:rsid w:val="00AF519F"/>
    <w:rsid w:val="00B91D82"/>
    <w:rsid w:val="00B92120"/>
    <w:rsid w:val="00C0459E"/>
    <w:rsid w:val="00FE0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54B09D-29EB-4E72-9AFB-013A4D87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4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97A"/>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5D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32A"/>
    <w:rPr>
      <w:rFonts w:ascii="Tahoma" w:hAnsi="Tahoma" w:cs="Tahoma"/>
      <w:sz w:val="16"/>
      <w:szCs w:val="16"/>
    </w:rPr>
  </w:style>
  <w:style w:type="character" w:customStyle="1" w:styleId="apple-converted-space">
    <w:name w:val="apple-converted-space"/>
    <w:basedOn w:val="DefaultParagraphFont"/>
    <w:rsid w:val="008C41FF"/>
  </w:style>
  <w:style w:type="character" w:styleId="Hyperlink">
    <w:name w:val="Hyperlink"/>
    <w:basedOn w:val="DefaultParagraphFont"/>
    <w:uiPriority w:val="99"/>
    <w:semiHidden/>
    <w:unhideWhenUsed/>
    <w:rsid w:val="008C41FF"/>
    <w:rPr>
      <w:color w:val="0000FF"/>
      <w:u w:val="single"/>
    </w:rPr>
  </w:style>
  <w:style w:type="table" w:styleId="TableGrid">
    <w:name w:val="Table Grid"/>
    <w:basedOn w:val="TableNormal"/>
    <w:uiPriority w:val="59"/>
    <w:rsid w:val="00340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544FB1"/>
    <w:pPr>
      <w:numPr>
        <w:numId w:val="13"/>
      </w:numPr>
      <w:spacing w:before="-1" w:beforeAutospacing="1" w:after="-1" w:afterAutospacing="1" w:line="400" w:lineRule="exact"/>
      <w:contextualSpacing/>
    </w:pPr>
    <w:rPr>
      <w:rFonts w:cs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2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l.sciencesocieties.org/publications/cs/articles/44/3/96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Lubberstedt, Thomas [AGRON]</dc:creator>
  <cp:lastModifiedBy>Anderson, Gretchen C [AGRON]</cp:lastModifiedBy>
  <cp:revision>5</cp:revision>
  <dcterms:created xsi:type="dcterms:W3CDTF">2014-12-01T14:04:00Z</dcterms:created>
  <dcterms:modified xsi:type="dcterms:W3CDTF">2015-12-18T18:00:00Z</dcterms:modified>
</cp:coreProperties>
</file>